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A2F" w:rsidRDefault="00DC0BE6">
      <w:bookmarkStart w:id="0" w:name="_GoBack"/>
      <w:bookmarkEnd w:id="0"/>
      <w:r w:rsidRPr="00DC0BE6">
        <w:rPr>
          <w:noProof/>
          <w:color w:val="C00000"/>
        </w:rPr>
        <w:drawing>
          <wp:inline distT="0" distB="0" distL="0" distR="0">
            <wp:extent cx="9781103" cy="6632154"/>
            <wp:effectExtent l="19050" t="0" r="10597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621A2F" w:rsidSect="008221DB">
      <w:pgSz w:w="16838" w:h="11906" w:orient="landscape"/>
      <w:pgMar w:top="851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6E"/>
    <w:rsid w:val="00150333"/>
    <w:rsid w:val="00296EF4"/>
    <w:rsid w:val="00323A90"/>
    <w:rsid w:val="004939B8"/>
    <w:rsid w:val="00497358"/>
    <w:rsid w:val="005A423D"/>
    <w:rsid w:val="00621A2F"/>
    <w:rsid w:val="007819AD"/>
    <w:rsid w:val="008221DB"/>
    <w:rsid w:val="00930101"/>
    <w:rsid w:val="009A1FC4"/>
    <w:rsid w:val="00B11E1A"/>
    <w:rsid w:val="00BE6FA7"/>
    <w:rsid w:val="00DC0BE6"/>
    <w:rsid w:val="00F3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B6E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B6E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3;&#1102;&#1076;&#1078;&#1077;&#1090;%202018\&#1044;&#1110;&#1072;&#1075;&#1088;&#1072;&#1084;&#1072;%20&#1089;&#1090;&#1088;&#1091;&#1082;&#1090;&#1091;&#1088;&#1072;%20&#1076;&#1086;&#1093;&#1086;&#1076;&#1110;&#1074;%2020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i="1">
                <a:latin typeface="Times New Roman" pitchFamily="18" charset="0"/>
                <a:cs typeface="Times New Roman" pitchFamily="18" charset="0"/>
              </a:defRPr>
            </a:pPr>
            <a:r>
              <a:rPr lang="ru-RU" sz="1800" i="1">
                <a:latin typeface="Times New Roman" pitchFamily="18" charset="0"/>
                <a:cs typeface="Times New Roman" pitchFamily="18" charset="0"/>
              </a:rPr>
              <a:t>Структура власних доходів загального фонду бюджету м. Вараш</a:t>
            </a:r>
          </a:p>
          <a:p>
            <a:pPr>
              <a:defRPr sz="1800" i="1">
                <a:latin typeface="Times New Roman" pitchFamily="18" charset="0"/>
                <a:cs typeface="Times New Roman" pitchFamily="18" charset="0"/>
              </a:defRPr>
            </a:pPr>
            <a:r>
              <a:rPr lang="ru-RU" sz="1800" i="1">
                <a:latin typeface="Times New Roman" pitchFamily="18" charset="0"/>
                <a:cs typeface="Times New Roman" pitchFamily="18" charset="0"/>
              </a:rPr>
              <a:t> на 2019 рік  </a:t>
            </a:r>
          </a:p>
        </c:rich>
      </c:tx>
      <c:layout>
        <c:manualLayout>
          <c:xMode val="edge"/>
          <c:yMode val="edge"/>
          <c:x val="0.19247993020839688"/>
          <c:y val="1.109759336766294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5.5610784963215795E-2"/>
          <c:y val="7.6259482963439498E-2"/>
          <c:w val="0.90059631858994726"/>
          <c:h val="0.85001700860271145"/>
        </c:manualLayout>
      </c:layout>
      <c:ofPieChart>
        <c:ofPieType val="pie"/>
        <c:varyColors val="1"/>
        <c:ser>
          <c:idx val="1"/>
          <c:order val="1"/>
          <c:explosion val="14"/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  <c:spPr>
              <a:solidFill>
                <a:srgbClr val="C00000"/>
              </a:solidFill>
            </c:spPr>
          </c:dPt>
          <c:dPt>
            <c:idx val="5"/>
            <c:bubble3D val="0"/>
            <c:spPr>
              <a:solidFill>
                <a:srgbClr val="0070C0"/>
              </a:solidFill>
            </c:spPr>
          </c:dPt>
          <c:dPt>
            <c:idx val="7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1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11"/>
            <c:bubble3D val="0"/>
            <c:spPr>
              <a:solidFill>
                <a:srgbClr val="FFCCFF"/>
              </a:solidFill>
            </c:spPr>
          </c:dPt>
          <c:dPt>
            <c:idx val="12"/>
            <c:bubble3D val="0"/>
            <c:spPr>
              <a:solidFill>
                <a:srgbClr val="7030A0"/>
              </a:solidFill>
            </c:spPr>
          </c:dPt>
          <c:dPt>
            <c:idx val="13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14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</c:spPr>
          </c:dPt>
          <c:dPt>
            <c:idx val="15"/>
            <c:bubble3D val="0"/>
            <c:spPr>
              <a:solidFill>
                <a:srgbClr val="BB6998"/>
              </a:solidFill>
            </c:spPr>
          </c:dPt>
          <c:dPt>
            <c:idx val="16"/>
            <c:bubble3D val="0"/>
            <c:spPr>
              <a:solidFill>
                <a:srgbClr val="00B050"/>
              </a:solidFill>
            </c:spPr>
          </c:dPt>
          <c:dPt>
            <c:idx val="17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</c:spPr>
          </c:dPt>
          <c:dPt>
            <c:idx val="18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0.1570238439640452"/>
                  <c:y val="4.9289301264831074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Плата за надання адмінпослуг; </a:t>
                    </a:r>
                  </a:p>
                  <a:p>
                    <a:r>
                      <a:rPr lang="ru-RU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1 200,0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9871845222146256"/>
                  <c:y val="9.305392536992966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Державне мито;</a:t>
                    </a:r>
                  </a:p>
                  <a:p>
                    <a:r>
                      <a:rPr lang="ru-RU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17,5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22760590167878755"/>
                  <c:y val="0.14259250667228829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Акцизний податок з реалізації суб'єктами господарювання роздрібної торгівлі підакцизних товарів; 5 155,0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7931998197923207E-2"/>
                  <c:y val="0.10567640390519203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Акцизний податок з виробленого в Україні та ввезеного на митну територію України пального;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6 500,0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9976712944795647E-2"/>
                  <c:y val="0.19093378405856359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Адміністративний збір за державну реєстрацію речових прав на нерухоме майно та їх обтяжень;  130,0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3297776006435755"/>
                  <c:y val="6.5898324633643049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Частина чистого прибутку (доходу)  комунальних унітарних підприємств та їх об'єднань, що вилучається до бюджету;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     174,5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9463258133590197"/>
                  <c:y val="0.17584340495177053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Надходження від орендної плати за коистування цілісним майновим комплексом та іншим майном, що перебуває в комунальній власності;   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 27,0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8.7551799235908029E-2"/>
                  <c:y val="-2.7240437334839041E-2"/>
                </c:manualLayout>
              </c:layout>
              <c:tx>
                <c:rich>
                  <a:bodyPr/>
                  <a:lstStyle/>
                  <a:p>
                    <a:pPr>
                      <a:defRPr sz="1200" i="1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  <a:cs typeface="Times New Roman" pitchFamily="18" charset="0"/>
                      </a:defRPr>
                    </a:pPr>
                    <a:r>
                      <a:rPr lang="ru-RU" sz="12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Податок на доходи фізичних осіб ;                      304 490,0 тис . 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accent1">
                          <a:tint val="66000"/>
                          <a:satMod val="160000"/>
                        </a:schemeClr>
                      </a:gs>
                      <a:gs pos="50000">
                        <a:schemeClr val="accent1">
                          <a:tint val="44500"/>
                          <a:satMod val="160000"/>
                        </a:schemeClr>
                      </a:gs>
                      <a:gs pos="100000">
                        <a:schemeClr val="accent1">
                          <a:tint val="23500"/>
                          <a:satMod val="160000"/>
                        </a:schemeClr>
                      </a:gs>
                    </a:gsLst>
                    <a:lin ang="5400000" scaled="0"/>
                  </a:gradFill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4482628995352491E-2"/>
                  <c:y val="-0.2086693591252857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Адміністративні штрафи;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100,0 тис.грн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20735923730086214"/>
                  <c:y val="-0.1328485213847968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Адміністративний збір за проведення державної реєстрації юридичних осіб, фізичних осіб-підприємців та громадських формувань; 25,0 тис.</a:t>
                    </a:r>
                    <a:r>
                      <a:rPr lang="ru-RU" sz="900" baseline="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грн</a:t>
                    </a:r>
                    <a:endParaRPr lang="ru-RU" sz="900">
                      <a:solidFill>
                        <a:schemeClr val="tx2">
                          <a:lumMod val="50000"/>
                        </a:schemeClr>
                      </a:solidFill>
                      <a:latin typeface="+mj-lt"/>
                    </a:endParaRP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7.356744567862826E-2"/>
                  <c:y val="-0.12296295181737686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Податок на прибуток;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  256,6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6.6853802321988634E-2"/>
                  <c:y val="-4.5033316640395192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Інші надходження;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  76,0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.12389145065137068"/>
                  <c:y val="-7.7739982070220093E-2"/>
                </c:manualLayout>
              </c:layout>
              <c:tx>
                <c:rich>
                  <a:bodyPr/>
                  <a:lstStyle/>
                  <a:p>
                    <a:pPr>
                      <a:defRPr sz="1100" i="1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  <a:cs typeface="Times New Roman" pitchFamily="18" charset="0"/>
                      </a:defRPr>
                    </a:pPr>
                    <a:r>
                      <a:rPr lang="ru-RU" sz="1100">
                        <a:solidFill>
                          <a:schemeClr val="tx2">
                            <a:lumMod val="50000"/>
                          </a:schemeClr>
                        </a:solidFill>
                      </a:rPr>
                      <a:t>Плата за землю; </a:t>
                    </a:r>
                  </a:p>
                  <a:p>
                    <a:pPr>
                      <a:defRPr sz="1100" i="1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  <a:cs typeface="Times New Roman" pitchFamily="18" charset="0"/>
                      </a:defRPr>
                    </a:pPr>
                    <a:r>
                      <a:rPr lang="ru-RU" sz="1100">
                        <a:solidFill>
                          <a:schemeClr val="tx2">
                            <a:lumMod val="50000"/>
                          </a:schemeClr>
                        </a:solidFill>
                      </a:rPr>
                      <a:t>45 255,0 тис. грн</a:t>
                    </a:r>
                  </a:p>
                </c:rich>
              </c:tx>
              <c:spPr>
                <a:ln>
                  <a:gradFill>
                    <a:gsLst>
                      <a:gs pos="0">
                        <a:schemeClr val="accent1">
                          <a:tint val="66000"/>
                          <a:satMod val="160000"/>
                        </a:schemeClr>
                      </a:gs>
                      <a:gs pos="50000">
                        <a:schemeClr val="accent1">
                          <a:tint val="44500"/>
                          <a:satMod val="160000"/>
                        </a:schemeClr>
                      </a:gs>
                      <a:gs pos="100000">
                        <a:schemeClr val="accent1">
                          <a:tint val="23500"/>
                          <a:satMod val="160000"/>
                        </a:schemeClr>
                      </a:gs>
                    </a:gsLst>
                    <a:lin ang="5400000" scaled="0"/>
                  </a:gradFill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0.12974263504419528"/>
                  <c:y val="-4.7570985187230429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Податок на нерухоме майно, відмінне від земельної ділянки;               6 250,0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0525986283102004E-2"/>
                  <c:y val="-0.16979669722119553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Транспортний 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податок;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50,0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272994043752708E-4"/>
                  <c:y val="-7.57123964855205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Туристичний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 податок;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5,0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7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2">
                            <a:lumMod val="50000"/>
                          </a:schemeClr>
                        </a:solidFill>
                      </a:rPr>
                      <a:t>Єдиний податок;        13 540,0 тис.грн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8"/>
              <c:layout/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Місцеві податки та збори; </a:t>
                    </a:r>
                  </a:p>
                  <a:p>
                    <a:r>
                      <a:rPr lang="ru-RU" sz="900">
                        <a:solidFill>
                          <a:schemeClr val="tx2">
                            <a:lumMod val="50000"/>
                          </a:schemeClr>
                        </a:solidFill>
                        <a:latin typeface="+mj-lt"/>
                      </a:rPr>
                      <a:t> 65 100 тис. 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gradFill>
                  <a:gsLst>
                    <a:gs pos="0">
                      <a:schemeClr val="accent1">
                        <a:tint val="66000"/>
                        <a:satMod val="160000"/>
                      </a:schemeClr>
                    </a:gs>
                    <a:gs pos="50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a:ln>
            </c:spPr>
            <c:txPr>
              <a:bodyPr/>
              <a:lstStyle/>
              <a:p>
                <a:pPr>
                  <a:defRPr sz="900" i="1">
                    <a:solidFill>
                      <a:schemeClr val="tx2">
                        <a:lumMod val="50000"/>
                      </a:schemeClr>
                    </a:solidFill>
                    <a:latin typeface="+mj-lt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>
                  <a:gradFill>
                    <a:gsLst>
                      <a:gs pos="0">
                        <a:schemeClr val="accent1">
                          <a:tint val="66000"/>
                          <a:satMod val="160000"/>
                        </a:schemeClr>
                      </a:gs>
                      <a:gs pos="50000">
                        <a:schemeClr val="accent1">
                          <a:tint val="44500"/>
                          <a:satMod val="160000"/>
                        </a:schemeClr>
                      </a:gs>
                      <a:gs pos="100000">
                        <a:schemeClr val="accent1">
                          <a:tint val="23500"/>
                          <a:satMod val="160000"/>
                        </a:schemeClr>
                      </a:gs>
                    </a:gsLst>
                    <a:lin ang="5400000" scaled="0"/>
                  </a:gradFill>
                </a:ln>
              </c:spPr>
            </c:leaderLines>
          </c:dLbls>
          <c:cat>
            <c:strRef>
              <c:f>'загальний фонд'!$C$7:$C$24</c:f>
              <c:strCache>
                <c:ptCount val="18"/>
                <c:pt idx="0">
                  <c:v>Плата за надання адмінпослуг</c:v>
                </c:pt>
                <c:pt idx="1">
                  <c:v>Державне мито </c:v>
                </c:pt>
                <c:pt idx="2">
                  <c:v>Акцизний податок з реалізації суб'єктами господарювання роздрібної торгівлі підакцизних товарів</c:v>
                </c:pt>
                <c:pt idx="3">
                  <c:v>Акцизний податок з виробленого в Україні та ввезеного на митну територію України пального</c:v>
                </c:pt>
                <c:pt idx="4">
                  <c:v>Адміністративний збір за державну реєстрацію речових прав на нерухоме майно та їх обтяжень</c:v>
                </c:pt>
                <c:pt idx="5">
                  <c:v>Частина чистого прибутку (доходу)  комунальних унітарних підприємств та їх об'єднань, що вилучається до бюджету</c:v>
                </c:pt>
                <c:pt idx="6">
                  <c:v>Надходження від орендної плати за коистування цілісним майновим комплексом та іншим майном, що перебуває в комунальній власності</c:v>
                </c:pt>
                <c:pt idx="7">
                  <c:v>Податок на доходи фізичних осіб   </c:v>
                </c:pt>
                <c:pt idx="8">
                  <c:v>Адміністративні штрафи</c:v>
                </c:pt>
                <c:pt idx="9">
                  <c:v>адміністративний збір за проведення державної реєстрації юридичних осіб, фізичних осіб-підприємців та громадських формувань</c:v>
                </c:pt>
                <c:pt idx="10">
                  <c:v>Податок на прибуток</c:v>
                </c:pt>
                <c:pt idx="11">
                  <c:v>Інші надходження</c:v>
                </c:pt>
                <c:pt idx="13">
                  <c:v>Плата за землю</c:v>
                </c:pt>
                <c:pt idx="14">
                  <c:v>Податок на нерухоме майно, відмінне від земельної ділянки</c:v>
                </c:pt>
                <c:pt idx="15">
                  <c:v>Транспортний податок</c:v>
                </c:pt>
                <c:pt idx="16">
                  <c:v>Туристичний податок</c:v>
                </c:pt>
                <c:pt idx="17">
                  <c:v>Єдиний податок</c:v>
                </c:pt>
              </c:strCache>
            </c:strRef>
          </c:cat>
          <c:val>
            <c:numRef>
              <c:f>'загальний фонд'!$E$7:$E$24</c:f>
              <c:numCache>
                <c:formatCode>#,##0.0</c:formatCode>
                <c:ptCount val="18"/>
                <c:pt idx="0">
                  <c:v>1200</c:v>
                </c:pt>
                <c:pt idx="1">
                  <c:v>17.5</c:v>
                </c:pt>
                <c:pt idx="2">
                  <c:v>5155</c:v>
                </c:pt>
                <c:pt idx="3">
                  <c:v>6500</c:v>
                </c:pt>
                <c:pt idx="4">
                  <c:v>130</c:v>
                </c:pt>
                <c:pt idx="5">
                  <c:v>174.5</c:v>
                </c:pt>
                <c:pt idx="6">
                  <c:v>27</c:v>
                </c:pt>
                <c:pt idx="7">
                  <c:v>304490</c:v>
                </c:pt>
                <c:pt idx="8">
                  <c:v>100</c:v>
                </c:pt>
                <c:pt idx="9">
                  <c:v>25</c:v>
                </c:pt>
                <c:pt idx="10">
                  <c:v>256.60000000000002</c:v>
                </c:pt>
                <c:pt idx="11">
                  <c:v>76</c:v>
                </c:pt>
                <c:pt idx="13">
                  <c:v>45255</c:v>
                </c:pt>
                <c:pt idx="14">
                  <c:v>6250</c:v>
                </c:pt>
                <c:pt idx="15">
                  <c:v>50</c:v>
                </c:pt>
                <c:pt idx="16">
                  <c:v>5</c:v>
                </c:pt>
                <c:pt idx="17">
                  <c:v>13540</c:v>
                </c:pt>
              </c:numCache>
            </c:numRef>
          </c:val>
        </c:ser>
        <c:ser>
          <c:idx val="0"/>
          <c:order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>
                  <a:gradFill>
                    <a:gsLst>
                      <a:gs pos="0">
                        <a:schemeClr val="accent1">
                          <a:tint val="66000"/>
                          <a:satMod val="160000"/>
                        </a:schemeClr>
                      </a:gs>
                      <a:gs pos="50000">
                        <a:schemeClr val="accent1">
                          <a:tint val="44500"/>
                          <a:satMod val="160000"/>
                        </a:schemeClr>
                      </a:gs>
                      <a:gs pos="100000">
                        <a:schemeClr val="accent1">
                          <a:tint val="23500"/>
                          <a:satMod val="160000"/>
                        </a:schemeClr>
                      </a:gs>
                    </a:gsLst>
                    <a:lin ang="5400000" scaled="0"/>
                  </a:gradFill>
                </a:ln>
              </c:spPr>
            </c:leaderLines>
          </c:dLbls>
          <c:cat>
            <c:strRef>
              <c:f>'загальний фонд'!$C$7:$C$24</c:f>
              <c:strCache>
                <c:ptCount val="18"/>
                <c:pt idx="0">
                  <c:v>Плата за надання адмінпослуг</c:v>
                </c:pt>
                <c:pt idx="1">
                  <c:v>Державне мито </c:v>
                </c:pt>
                <c:pt idx="2">
                  <c:v>Акцизний податок з реалізації суб'єктами господарювання роздрібної торгівлі підакцизних товарів</c:v>
                </c:pt>
                <c:pt idx="3">
                  <c:v>Акцизний податок з виробленого в Україні та ввезеного на митну територію України пального</c:v>
                </c:pt>
                <c:pt idx="4">
                  <c:v>Адміністративний збір за державну реєстрацію речових прав на нерухоме майно та їх обтяжень</c:v>
                </c:pt>
                <c:pt idx="5">
                  <c:v>Частина чистого прибутку (доходу)  комунальних унітарних підприємств та їх об'єднань, що вилучається до бюджету</c:v>
                </c:pt>
                <c:pt idx="6">
                  <c:v>Надходження від орендної плати за коистування цілісним майновим комплексом та іншим майном, що перебуває в комунальній власності</c:v>
                </c:pt>
                <c:pt idx="7">
                  <c:v>Податок на доходи фізичних осіб   </c:v>
                </c:pt>
                <c:pt idx="8">
                  <c:v>Адміністративні штрафи</c:v>
                </c:pt>
                <c:pt idx="9">
                  <c:v>адміністративний збір за проведення державної реєстрації юридичних осіб, фізичних осіб-підприємців та громадських формувань</c:v>
                </c:pt>
                <c:pt idx="10">
                  <c:v>Податок на прибуток</c:v>
                </c:pt>
                <c:pt idx="11">
                  <c:v>Інші надходження</c:v>
                </c:pt>
                <c:pt idx="13">
                  <c:v>Плата за землю</c:v>
                </c:pt>
                <c:pt idx="14">
                  <c:v>Податок на нерухоме майно, відмінне від земельної ділянки</c:v>
                </c:pt>
                <c:pt idx="15">
                  <c:v>Транспортний податок</c:v>
                </c:pt>
                <c:pt idx="16">
                  <c:v>Туристичний податок</c:v>
                </c:pt>
                <c:pt idx="17">
                  <c:v>Єдиний податок</c:v>
                </c:pt>
              </c:strCache>
            </c:strRef>
          </c:cat>
          <c:val>
            <c:numRef>
              <c:f>'загальний фонд'!$D$7:$D$24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gapWidth val="100"/>
        <c:secondPieSize val="75"/>
        <c:serLines>
          <c:spPr>
            <a:ln>
              <a:solidFill>
                <a:schemeClr val="tx2">
                  <a:lumMod val="60000"/>
                  <a:lumOff val="40000"/>
                </a:schemeClr>
              </a:solidFill>
              <a:prstDash val="sysDot"/>
            </a:ln>
          </c:spPr>
        </c:serLines>
      </c:ofPie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Пользователь Windows</cp:lastModifiedBy>
  <cp:revision>2</cp:revision>
  <cp:lastPrinted>2018-12-18T09:03:00Z</cp:lastPrinted>
  <dcterms:created xsi:type="dcterms:W3CDTF">2018-12-21T10:48:00Z</dcterms:created>
  <dcterms:modified xsi:type="dcterms:W3CDTF">2018-12-21T10:48:00Z</dcterms:modified>
</cp:coreProperties>
</file>